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Article Template for IMAV 2025</w:t>
      </w:r>
    </w:p>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AuthorName¹, S.B. AuthorName², and C. AuthorName³</w:t>
      </w:r>
    </w:p>
    <w:p w:rsidR="00000000" w:rsidDel="00000000" w:rsidP="00000000" w:rsidRDefault="00000000" w:rsidRPr="00000000" w14:paraId="00000004">
      <w:pPr>
        <w:spacing w:line="12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spacing w:line="240" w:lineRule="auto"/>
        <w:jc w:val="center"/>
        <w:rPr>
          <w:rFonts w:ascii="Times New Roman" w:cs="Times New Roman" w:eastAsia="Times New Roman" w:hAnsi="Times New Roman"/>
          <w:sz w:val="20"/>
          <w:szCs w:val="20"/>
        </w:rPr>
        <w:sectPr>
          <w:pgSz w:h="16834" w:w="11909" w:orient="portrait"/>
          <w:pgMar w:bottom="1440" w:top="969" w:left="1077" w:right="1077" w:header="720" w:footer="720"/>
          <w:pgNumType w:start="1"/>
        </w:sectPr>
      </w:pPr>
      <w:r w:rsidDel="00000000" w:rsidR="00000000" w:rsidRPr="00000000">
        <w:rPr>
          <w:rFonts w:ascii="Times New Roman" w:cs="Times New Roman" w:eastAsia="Times New Roman" w:hAnsi="Times New Roman"/>
          <w:sz w:val="20"/>
          <w:szCs w:val="20"/>
          <w:rtl w:val="0"/>
        </w:rPr>
        <w:t xml:space="preserve">University of A, Z road, Paysana</w:t>
      </w:r>
    </w:p>
    <w:p w:rsidR="00000000" w:rsidDel="00000000" w:rsidP="00000000" w:rsidRDefault="00000000" w:rsidRPr="00000000" w14:paraId="0000000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ABSTRACT</w:t>
      </w:r>
    </w:p>
    <w:p w:rsidR="00000000" w:rsidDel="00000000" w:rsidP="00000000" w:rsidRDefault="00000000" w:rsidRPr="00000000" w14:paraId="0000000A">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rtl w:val="0"/>
        </w:rPr>
        <w:br w:type="textWrapping"/>
      </w:r>
      <w:r w:rsidDel="00000000" w:rsidR="00000000" w:rsidRPr="00000000">
        <w:rPr>
          <w:rFonts w:ascii="Times New Roman" w:cs="Times New Roman" w:eastAsia="Times New Roman" w:hAnsi="Times New Roman"/>
          <w:sz w:val="20"/>
          <w:szCs w:val="20"/>
          <w:rtl w:val="0"/>
        </w:rPr>
        <w:t xml:space="preserve">This is the article template for the IMAV 2021 to be used with Latex. The abstract should contain a short description of the research. It can maximally be 300 words.</w:t>
      </w:r>
    </w:p>
    <w:p w:rsidR="00000000" w:rsidDel="00000000" w:rsidP="00000000" w:rsidRDefault="00000000" w:rsidRPr="00000000" w14:paraId="0000000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numPr>
          <w:ilvl w:val="0"/>
          <w:numId w:val="1"/>
        </w:numPr>
        <w:tabs>
          <w:tab w:val="left" w:leader="none" w:pos="1880"/>
        </w:tabs>
        <w:ind w:left="170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00D">
      <w:pPr>
        <w:ind w:firstLine="299"/>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Latex, you do not have to worry much about the style. It is best to use the ‘imav template.tex’-file as a template. Just remove our text and put your text in its place. Copy the code for figures and tables, and put your data in them. Most comments in this document are best understood by looking at the latex source file. </w:t>
      </w:r>
    </w:p>
    <w:p w:rsidR="00000000" w:rsidDel="00000000" w:rsidP="00000000" w:rsidRDefault="00000000" w:rsidRPr="00000000" w14:paraId="0000000E">
      <w:pPr>
        <w:ind w:firstLine="299"/>
        <w:jc w:val="both"/>
        <w:rPr>
          <w:rFonts w:ascii="Times New Roman" w:cs="Times New Roman" w:eastAsia="Times New Roman" w:hAnsi="Times New Roman"/>
          <w:sz w:val="19"/>
          <w:szCs w:val="19"/>
        </w:rPr>
      </w:pPr>
      <w:r w:rsidDel="00000000" w:rsidR="00000000" w:rsidRPr="00000000">
        <w:rPr>
          <w:rtl w:val="0"/>
        </w:rPr>
      </w:r>
    </w:p>
    <w:p w:rsidR="00000000" w:rsidDel="00000000" w:rsidP="00000000" w:rsidRDefault="00000000" w:rsidRPr="00000000" w14:paraId="0000000F">
      <w:pPr>
        <w:ind w:firstLine="299"/>
        <w:jc w:val="both"/>
        <w:rPr>
          <w:rFonts w:ascii="Times New Roman" w:cs="Times New Roman" w:eastAsia="Times New Roman" w:hAnsi="Times New Roman"/>
          <w:sz w:val="19"/>
          <w:szCs w:val="19"/>
        </w:rPr>
      </w:pPr>
      <w:r w:rsidDel="00000000" w:rsidR="00000000" w:rsidRPr="00000000">
        <w:rPr>
          <w:rtl w:val="0"/>
        </w:rPr>
      </w:r>
    </w:p>
    <w:p w:rsidR="00000000" w:rsidDel="00000000" w:rsidP="00000000" w:rsidRDefault="00000000" w:rsidRPr="00000000" w14:paraId="00000010">
      <w:pPr>
        <w:numPr>
          <w:ilvl w:val="0"/>
          <w:numId w:val="1"/>
        </w:numPr>
        <w:tabs>
          <w:tab w:val="left" w:leader="none" w:pos="1880"/>
        </w:tabs>
        <w:ind w:left="1133"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FIGURES AND TABLES</w:t>
      </w:r>
    </w:p>
    <w:p w:rsidR="00000000" w:rsidDel="00000000" w:rsidP="00000000" w:rsidRDefault="00000000" w:rsidRPr="00000000" w14:paraId="00000011">
      <w:pPr>
        <w:numPr>
          <w:ilvl w:val="1"/>
          <w:numId w:val="1"/>
        </w:numPr>
        <w:tabs>
          <w:tab w:val="left" w:leader="none" w:pos="1880"/>
        </w:tabs>
        <w:ind w:left="708" w:hanging="360"/>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Figures</w:t>
      </w:r>
    </w:p>
    <w:p w:rsidR="00000000" w:rsidDel="00000000" w:rsidP="00000000" w:rsidRDefault="00000000" w:rsidRPr="00000000" w14:paraId="00000012">
      <w:pPr>
        <w:tabs>
          <w:tab w:val="left" w:leader="none" w:pos="1880"/>
        </w:tabs>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 insert images in Latex, use the template below. The figure caption should be below the figure. Images can be included in colour, since the proceedings will only be released in digital form.</w:t>
      </w:r>
    </w:p>
    <w:p w:rsidR="00000000" w:rsidDel="00000000" w:rsidP="00000000" w:rsidRDefault="00000000" w:rsidRPr="00000000" w14:paraId="00000013">
      <w:pPr>
        <w:tabs>
          <w:tab w:val="left" w:leader="none" w:pos="1880"/>
        </w:tabs>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2962275" cy="1244600"/>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962275" cy="12446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tabs>
          <w:tab w:val="left" w:leader="none" w:pos="1880"/>
        </w:tabs>
        <w:jc w:val="center"/>
        <w:rPr>
          <w:rFonts w:ascii="Times New Roman" w:cs="Times New Roman" w:eastAsia="Times New Roman" w:hAnsi="Times New Roman"/>
          <w:sz w:val="19"/>
          <w:szCs w:val="19"/>
        </w:rPr>
      </w:pPr>
      <w:r w:rsidDel="00000000" w:rsidR="00000000" w:rsidRPr="00000000">
        <w:rPr>
          <w:rFonts w:ascii="Times New Roman" w:cs="Times New Roman" w:eastAsia="Times New Roman" w:hAnsi="Times New Roman"/>
          <w:sz w:val="19"/>
          <w:szCs w:val="19"/>
          <w:rtl w:val="0"/>
        </w:rPr>
        <w:t xml:space="preserve">Figure 1: Be sure to select the figure caption style.</w:t>
      </w:r>
    </w:p>
    <w:p w:rsidR="00000000" w:rsidDel="00000000" w:rsidP="00000000" w:rsidRDefault="00000000" w:rsidRPr="00000000" w14:paraId="00000015">
      <w:pPr>
        <w:tabs>
          <w:tab w:val="left" w:leader="none" w:pos="1880"/>
        </w:tabs>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16">
      <w:pPr>
        <w:numPr>
          <w:ilvl w:val="1"/>
          <w:numId w:val="1"/>
        </w:numPr>
        <w:tabs>
          <w:tab w:val="left" w:leader="none" w:pos="1880"/>
        </w:tabs>
        <w:ind w:left="708" w:hanging="360"/>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Tables</w:t>
      </w:r>
    </w:p>
    <w:p w:rsidR="00000000" w:rsidDel="00000000" w:rsidP="00000000" w:rsidRDefault="00000000" w:rsidRPr="00000000" w14:paraId="00000017">
      <w:pPr>
        <w:tabs>
          <w:tab w:val="left" w:leader="none" w:pos="1880"/>
        </w:tabs>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inserting a table, you can choose the appropriate style - Table 1 below is an example. Put the caption under the table.</w:t>
      </w:r>
    </w:p>
    <w:p w:rsidR="00000000" w:rsidDel="00000000" w:rsidP="00000000" w:rsidRDefault="00000000" w:rsidRPr="00000000" w14:paraId="00000018">
      <w:pPr>
        <w:tabs>
          <w:tab w:val="left" w:leader="none" w:pos="1880"/>
        </w:tabs>
        <w:ind w:left="720" w:firstLine="0"/>
        <w:jc w:val="both"/>
        <w:rPr>
          <w:rFonts w:ascii="Times New Roman" w:cs="Times New Roman" w:eastAsia="Times New Roman" w:hAnsi="Times New Roman"/>
          <w:sz w:val="20"/>
          <w:szCs w:val="20"/>
        </w:rPr>
      </w:pPr>
      <w:r w:rsidDel="00000000" w:rsidR="00000000" w:rsidRPr="00000000">
        <w:rPr>
          <w:rtl w:val="0"/>
        </w:rPr>
      </w:r>
    </w:p>
    <w:tbl>
      <w:tblPr>
        <w:tblStyle w:val="Table1"/>
        <w:tblW w:w="21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
        <w:gridCol w:w="540"/>
        <w:gridCol w:w="555"/>
        <w:gridCol w:w="510"/>
        <w:tblGridChange w:id="0">
          <w:tblGrid>
            <w:gridCol w:w="495"/>
            <w:gridCol w:w="540"/>
            <w:gridCol w:w="555"/>
            <w:gridCol w:w="510"/>
          </w:tblGrid>
        </w:tblGridChange>
      </w:tblGrid>
      <w:tr>
        <w:trPr>
          <w:cantSplit w:val="0"/>
          <w:trHeight w:val="360" w:hRule="atLeast"/>
          <w:tblHeader w:val="0"/>
        </w:trPr>
        <w:tc>
          <w:tcPr>
            <w:shd w:fill="auto" w:val="clear"/>
            <w:tcMar>
              <w:top w:w="73.0" w:type="dxa"/>
              <w:left w:w="73.0" w:type="dxa"/>
              <w:bottom w:w="73.0" w:type="dxa"/>
              <w:right w:w="73.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tl w:val="0"/>
              </w:rPr>
            </w:r>
          </w:p>
        </w:tc>
        <w:tc>
          <w:tcPr>
            <w:shd w:fill="auto" w:val="clear"/>
            <w:tcMar>
              <w:top w:w="73.0" w:type="dxa"/>
              <w:left w:w="73.0" w:type="dxa"/>
              <w:bottom w:w="73.0" w:type="dxa"/>
              <w:right w:w="73.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w:t>
            </w:r>
          </w:p>
        </w:tc>
        <w:tc>
          <w:tcPr>
            <w:shd w:fill="auto" w:val="clear"/>
            <w:tcMar>
              <w:top w:w="73.0" w:type="dxa"/>
              <w:left w:w="73.0" w:type="dxa"/>
              <w:bottom w:w="73.0" w:type="dxa"/>
              <w:right w:w="73.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w:t>
            </w:r>
          </w:p>
        </w:tc>
        <w:tc>
          <w:tcPr>
            <w:shd w:fill="auto" w:val="clear"/>
            <w:tcMar>
              <w:top w:w="73.0" w:type="dxa"/>
              <w:left w:w="73.0" w:type="dxa"/>
              <w:bottom w:w="73.0" w:type="dxa"/>
              <w:right w:w="73.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w:t>
            </w:r>
          </w:p>
        </w:tc>
      </w:tr>
      <w:tr>
        <w:trPr>
          <w:cantSplit w:val="0"/>
          <w:tblHeader w:val="0"/>
        </w:trPr>
        <w:tc>
          <w:tcPr>
            <w:shd w:fill="auto" w:val="clear"/>
            <w:tcMar>
              <w:top w:w="73.0" w:type="dxa"/>
              <w:left w:w="73.0" w:type="dxa"/>
              <w:bottom w:w="73.0" w:type="dxa"/>
              <w:right w:w="73.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shd w:fill="auto" w:val="clear"/>
            <w:tcMar>
              <w:top w:w="73.0" w:type="dxa"/>
              <w:left w:w="73.0" w:type="dxa"/>
              <w:bottom w:w="73.0" w:type="dxa"/>
              <w:right w:w="73.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shd w:fill="auto" w:val="clear"/>
            <w:tcMar>
              <w:top w:w="73.0" w:type="dxa"/>
              <w:left w:w="73.0" w:type="dxa"/>
              <w:bottom w:w="73.0" w:type="dxa"/>
              <w:right w:w="73.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shd w:fill="auto" w:val="clear"/>
            <w:tcMar>
              <w:top w:w="73.0" w:type="dxa"/>
              <w:left w:w="73.0" w:type="dxa"/>
              <w:bottom w:w="73.0" w:type="dxa"/>
              <w:right w:w="73.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r>
      <w:tr>
        <w:trPr>
          <w:cantSplit w:val="0"/>
          <w:tblHeader w:val="0"/>
        </w:trPr>
        <w:tc>
          <w:tcPr>
            <w:shd w:fill="auto" w:val="clear"/>
            <w:tcMar>
              <w:top w:w="73.0" w:type="dxa"/>
              <w:left w:w="73.0" w:type="dxa"/>
              <w:bottom w:w="73.0" w:type="dxa"/>
              <w:right w:w="73.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w:t>
            </w:r>
          </w:p>
        </w:tc>
        <w:tc>
          <w:tcPr>
            <w:shd w:fill="auto" w:val="clear"/>
            <w:tcMar>
              <w:top w:w="73.0" w:type="dxa"/>
              <w:left w:w="73.0" w:type="dxa"/>
              <w:bottom w:w="73.0" w:type="dxa"/>
              <w:right w:w="73.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shd w:fill="auto" w:val="clear"/>
            <w:tcMar>
              <w:top w:w="73.0" w:type="dxa"/>
              <w:left w:w="73.0" w:type="dxa"/>
              <w:bottom w:w="73.0" w:type="dxa"/>
              <w:right w:w="73.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shd w:fill="auto" w:val="clear"/>
            <w:tcMar>
              <w:top w:w="73.0" w:type="dxa"/>
              <w:left w:w="73.0" w:type="dxa"/>
              <w:bottom w:w="73.0" w:type="dxa"/>
              <w:right w:w="73.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r>
    </w:tbl>
    <w:p w:rsidR="00000000" w:rsidDel="00000000" w:rsidP="00000000" w:rsidRDefault="00000000" w:rsidRPr="00000000" w14:paraId="00000025">
      <w:pPr>
        <w:tabs>
          <w:tab w:val="left" w:leader="none" w:pos="1880"/>
        </w:tabs>
        <w:jc w:val="center"/>
        <w:rPr>
          <w:rFonts w:ascii="Times New Roman" w:cs="Times New Roman" w:eastAsia="Times New Roman" w:hAnsi="Times New Roman"/>
          <w:sz w:val="19"/>
          <w:szCs w:val="19"/>
        </w:rPr>
      </w:pPr>
      <w:r w:rsidDel="00000000" w:rsidR="00000000" w:rsidRPr="00000000">
        <w:rPr>
          <w:rFonts w:ascii="Times New Roman" w:cs="Times New Roman" w:eastAsia="Times New Roman" w:hAnsi="Times New Roman"/>
          <w:sz w:val="19"/>
          <w:szCs w:val="19"/>
          <w:rtl w:val="0"/>
        </w:rPr>
        <w:t xml:space="preserve">Table 1: Results of the experiment.</w:t>
      </w:r>
    </w:p>
    <w:p w:rsidR="00000000" w:rsidDel="00000000" w:rsidP="00000000" w:rsidRDefault="00000000" w:rsidRPr="00000000" w14:paraId="00000026">
      <w:pPr>
        <w:tabs>
          <w:tab w:val="left" w:leader="none" w:pos="1880"/>
        </w:tabs>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w:t>
      </w:r>
    </w:p>
    <w:p w:rsidR="00000000" w:rsidDel="00000000" w:rsidP="00000000" w:rsidRDefault="00000000" w:rsidRPr="00000000" w14:paraId="00000027">
      <w:pPr>
        <w:spacing w:line="240" w:lineRule="auto"/>
        <w:ind w:left="200" w:firstLine="0"/>
        <w:jc w:val="both"/>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*Email address(es): contact </w:t>
      </w:r>
      <w:hyperlink r:id="rId8">
        <w:r w:rsidDel="00000000" w:rsidR="00000000" w:rsidRPr="00000000">
          <w:rPr>
            <w:rFonts w:ascii="Times New Roman" w:cs="Times New Roman" w:eastAsia="Times New Roman" w:hAnsi="Times New Roman"/>
            <w:sz w:val="16"/>
            <w:szCs w:val="16"/>
            <w:rtl w:val="0"/>
          </w:rPr>
          <w:t xml:space="preserve">author@mail.com</w:t>
        </w:r>
      </w:hyperlink>
      <w:r w:rsidDel="00000000" w:rsidR="00000000" w:rsidRPr="00000000">
        <w:rPr>
          <w:rtl w:val="0"/>
        </w:rPr>
      </w:r>
    </w:p>
    <w:p w:rsidR="00000000" w:rsidDel="00000000" w:rsidP="00000000" w:rsidRDefault="00000000" w:rsidRPr="00000000" w14:paraId="00000028">
      <w:pPr>
        <w:spacing w:line="240" w:lineRule="auto"/>
        <w:ind w:left="200" w:firstLine="0"/>
        <w:jc w:val="both"/>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9">
      <w:pPr>
        <w:spacing w:line="240" w:lineRule="auto"/>
        <w:ind w:left="200" w:firstLine="0"/>
        <w:jc w:val="both"/>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A">
      <w:pPr>
        <w:spacing w:line="240" w:lineRule="auto"/>
        <w:ind w:left="200" w:firstLine="0"/>
        <w:jc w:val="both"/>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B">
      <w:pPr>
        <w:tabs>
          <w:tab w:val="left" w:leader="none" w:pos="1880"/>
        </w:tabs>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numPr>
          <w:ilvl w:val="0"/>
          <w:numId w:val="1"/>
        </w:numPr>
        <w:tabs>
          <w:tab w:val="left" w:leader="none" w:pos="1880"/>
        </w:tabs>
        <w:ind w:left="1417"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MATH AND UNITS</w:t>
      </w:r>
    </w:p>
    <w:p w:rsidR="00000000" w:rsidDel="00000000" w:rsidP="00000000" w:rsidRDefault="00000000" w:rsidRPr="00000000" w14:paraId="0000002D">
      <w:pPr>
        <w:numPr>
          <w:ilvl w:val="1"/>
          <w:numId w:val="1"/>
        </w:numPr>
        <w:tabs>
          <w:tab w:val="left" w:leader="none" w:pos="1880"/>
        </w:tabs>
        <w:ind w:left="708" w:hanging="360"/>
        <w:jc w:val="both"/>
        <w:rPr>
          <w:rFonts w:ascii="Times New Roman" w:cs="Times New Roman" w:eastAsia="Times New Roman" w:hAnsi="Times New Roman"/>
          <w:i w:val="1"/>
          <w:sz w:val="20"/>
          <w:szCs w:val="20"/>
        </w:rPr>
      </w:pPr>
      <w:bookmarkStart w:colFirst="0" w:colLast="0" w:name="_heading=h.gjdgxs" w:id="0"/>
      <w:bookmarkEnd w:id="0"/>
      <w:r w:rsidDel="00000000" w:rsidR="00000000" w:rsidRPr="00000000">
        <w:rPr>
          <w:rFonts w:ascii="Times New Roman" w:cs="Times New Roman" w:eastAsia="Times New Roman" w:hAnsi="Times New Roman"/>
          <w:i w:val="1"/>
          <w:sz w:val="20"/>
          <w:szCs w:val="20"/>
          <w:rtl w:val="0"/>
        </w:rPr>
        <w:t xml:space="preserve">Math</w:t>
      </w:r>
    </w:p>
    <w:p w:rsidR="00000000" w:rsidDel="00000000" w:rsidP="00000000" w:rsidRDefault="00000000" w:rsidRPr="00000000" w14:paraId="0000002E">
      <w:pPr>
        <w:tabs>
          <w:tab w:val="left" w:leader="none" w:pos="1880"/>
        </w:tabs>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Include equations in Latex with the equation environment:</w:t>
      </w:r>
    </w:p>
    <w:p w:rsidR="00000000" w:rsidDel="00000000" w:rsidP="00000000" w:rsidRDefault="00000000" w:rsidRPr="00000000" w14:paraId="0000002F">
      <w:pPr>
        <w:tabs>
          <w:tab w:val="left" w:leader="none" w:pos="1880"/>
        </w:tabs>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8"/>
          <w:szCs w:val="28"/>
          <w:rtl w:val="0"/>
        </w:rPr>
        <w:t xml:space="preserve">                 </w:t>
      </w:r>
      <m:oMath>
        <m:r>
          <w:rPr>
            <w:rFonts w:ascii="Times New Roman" w:cs="Times New Roman" w:eastAsia="Times New Roman" w:hAnsi="Times New Roman"/>
            <w:sz w:val="28"/>
            <w:szCs w:val="28"/>
          </w:rPr>
          <m:t xml:space="preserve">n =</m:t>
        </m:r>
        <m:rad>
          <m:radPr>
            <m:degHide m:val="1"/>
            <m:ctrlPr>
              <w:rPr>
                <w:rFonts w:ascii="Times New Roman" w:cs="Times New Roman" w:eastAsia="Times New Roman" w:hAnsi="Times New Roman"/>
                <w:sz w:val="28"/>
                <w:szCs w:val="28"/>
              </w:rPr>
            </m:ctrlPr>
          </m:radPr>
          <m:e>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a</m:t>
                </m:r>
              </m:num>
              <m:den>
                <m:r>
                  <w:rPr>
                    <w:rFonts w:ascii="Times New Roman" w:cs="Times New Roman" w:eastAsia="Times New Roman" w:hAnsi="Times New Roman"/>
                    <w:sz w:val="28"/>
                    <w:szCs w:val="28"/>
                  </w:rPr>
                  <m:t xml:space="preserve">b</m:t>
                </m:r>
              </m:den>
            </m:f>
          </m:e>
        </m:rad>
      </m:oMath>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0"/>
          <w:szCs w:val="20"/>
          <w:rtl w:val="0"/>
        </w:rPr>
        <w:t xml:space="preserve">(1)</w:t>
      </w:r>
    </w:p>
    <w:p w:rsidR="00000000" w:rsidDel="00000000" w:rsidP="00000000" w:rsidRDefault="00000000" w:rsidRPr="00000000" w14:paraId="00000030">
      <w:pPr>
        <w:tabs>
          <w:tab w:val="left" w:leader="none" w:pos="1880"/>
        </w:tabs>
        <w:ind w:left="708"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1">
      <w:pPr>
        <w:tabs>
          <w:tab w:val="left" w:leader="none" w:pos="1880"/>
        </w:tabs>
        <w:jc w:val="both"/>
        <w:rPr>
          <w:rFonts w:ascii="Times New Roman" w:cs="Times New Roman" w:eastAsia="Times New Roman" w:hAnsi="Times New Roman"/>
          <w:sz w:val="20"/>
          <w:szCs w:val="20"/>
        </w:rPr>
      </w:pPr>
      <w:r w:rsidDel="00000000" w:rsidR="00000000" w:rsidRPr="00000000">
        <w:rPr>
          <w:rFonts w:ascii="Gungsuh" w:cs="Gungsuh" w:eastAsia="Gungsuh" w:hAnsi="Gungsuh"/>
          <w:sz w:val="20"/>
          <w:szCs w:val="20"/>
          <w:rtl w:val="0"/>
        </w:rPr>
        <w:t xml:space="preserve">If used inside the text, use the $-sign: a = b − c.   Only do this for short formulas.</w:t>
      </w:r>
      <w:r w:rsidDel="00000000" w:rsidR="00000000" w:rsidRPr="00000000">
        <w:rPr>
          <w:rtl w:val="0"/>
        </w:rPr>
      </w:r>
    </w:p>
    <w:p w:rsidR="00000000" w:rsidDel="00000000" w:rsidP="00000000" w:rsidRDefault="00000000" w:rsidRPr="00000000" w14:paraId="00000032">
      <w:pPr>
        <w:tabs>
          <w:tab w:val="left" w:leader="none" w:pos="1880"/>
        </w:tabs>
        <w:ind w:left="708"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numPr>
          <w:ilvl w:val="1"/>
          <w:numId w:val="1"/>
        </w:numPr>
        <w:tabs>
          <w:tab w:val="left" w:leader="none" w:pos="1880"/>
        </w:tabs>
        <w:ind w:left="708" w:hanging="360"/>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Units</w:t>
      </w:r>
    </w:p>
    <w:p w:rsidR="00000000" w:rsidDel="00000000" w:rsidP="00000000" w:rsidRDefault="00000000" w:rsidRPr="00000000" w14:paraId="00000034">
      <w:pPr>
        <w:tabs>
          <w:tab w:val="left" w:leader="none" w:pos="1880"/>
        </w:tabs>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Always use SI units first, possibly adding other units in parentheses.</w:t>
      </w:r>
    </w:p>
    <w:p w:rsidR="00000000" w:rsidDel="00000000" w:rsidP="00000000" w:rsidRDefault="00000000" w:rsidRPr="00000000" w14:paraId="00000035">
      <w:pPr>
        <w:tabs>
          <w:tab w:val="left" w:leader="none" w:pos="1880"/>
        </w:tabs>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6">
      <w:pPr>
        <w:numPr>
          <w:ilvl w:val="0"/>
          <w:numId w:val="1"/>
        </w:numPr>
        <w:tabs>
          <w:tab w:val="left" w:leader="none" w:pos="1880"/>
        </w:tabs>
        <w:ind w:left="1133"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REFERENCING</w:t>
      </w:r>
    </w:p>
    <w:p w:rsidR="00000000" w:rsidDel="00000000" w:rsidP="00000000" w:rsidRDefault="00000000" w:rsidRPr="00000000" w14:paraId="00000037">
      <w:pPr>
        <w:numPr>
          <w:ilvl w:val="1"/>
          <w:numId w:val="1"/>
        </w:numPr>
        <w:tabs>
          <w:tab w:val="left" w:leader="none" w:pos="1880"/>
        </w:tabs>
        <w:ind w:left="708" w:hanging="360"/>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In-document referencing</w:t>
      </w:r>
    </w:p>
    <w:p w:rsidR="00000000" w:rsidDel="00000000" w:rsidP="00000000" w:rsidRDefault="00000000" w:rsidRPr="00000000" w14:paraId="00000038">
      <w:pPr>
        <w:tabs>
          <w:tab w:val="left" w:leader="none" w:pos="1880"/>
        </w:tabs>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Always introduce a figure as “Figure X”, as in “Figure 1 shows the IMAV logo.”, or “The IMAV logor is shown in Figure 1.” Subsequently, the word “figure” can be used. The same goes for tables (“Table 1”). Equations do not have to be introduced this way. If they are referenced to, “Equation 1” should be used. Sections are referred to as “Section 1” ¹.</w:t>
      </w:r>
    </w:p>
    <w:p w:rsidR="00000000" w:rsidDel="00000000" w:rsidP="00000000" w:rsidRDefault="00000000" w:rsidRPr="00000000" w14:paraId="00000039">
      <w:pPr>
        <w:tabs>
          <w:tab w:val="left" w:leader="none" w:pos="1880"/>
        </w:tabs>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3A">
      <w:pPr>
        <w:numPr>
          <w:ilvl w:val="1"/>
          <w:numId w:val="1"/>
        </w:numPr>
        <w:tabs>
          <w:tab w:val="left" w:leader="none" w:pos="1880"/>
        </w:tabs>
        <w:ind w:left="708" w:hanging="360"/>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Referencing to literature</w:t>
      </w:r>
    </w:p>
    <w:p w:rsidR="00000000" w:rsidDel="00000000" w:rsidP="00000000" w:rsidRDefault="00000000" w:rsidRPr="00000000" w14:paraId="0000003B">
      <w:pPr>
        <w:tabs>
          <w:tab w:val="left" w:leader="none" w:pos="1880"/>
        </w:tabs>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Citations are numbered consecutively with square brackets [1] - this is determined by the bibliography style ‘unsrt’. The sentence punctuation follows the brackets [2]. Multiple references [1, 2] are each numbered with separate brackets or in sequence as [1, 2, 3]. Follow the reference style at the end of this document. Papers that have not been published should be cited as ”unpublished”. Papers that have been submitted for publication should be cited as “submitted for publication”. Papers that have been accepted for publication, but not yet specified for an issue should be cited as ”to appear”. Capitalize only the first word in a paper title, except for proper nouns and element symbols. Below, [1] is a reference to a conference paper, [2] to a journal paper, and [3] to a book.</w:t>
      </w:r>
    </w:p>
    <w:p w:rsidR="00000000" w:rsidDel="00000000" w:rsidP="00000000" w:rsidRDefault="00000000" w:rsidRPr="00000000" w14:paraId="0000003C">
      <w:pPr>
        <w:tabs>
          <w:tab w:val="left" w:leader="none" w:pos="1880"/>
        </w:tabs>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D">
      <w:pPr>
        <w:spacing w:line="36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w:t>
      </w:r>
    </w:p>
    <w:p w:rsidR="00000000" w:rsidDel="00000000" w:rsidP="00000000" w:rsidRDefault="00000000" w:rsidRPr="00000000" w14:paraId="0000003E">
      <w:pPr>
        <w:spacing w:line="240" w:lineRule="auto"/>
        <w:ind w:left="200" w:firstLine="0"/>
        <w:jc w:val="both"/>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¹ Footnotes are placed like this.</w:t>
      </w:r>
    </w:p>
    <w:p w:rsidR="00000000" w:rsidDel="00000000" w:rsidP="00000000" w:rsidRDefault="00000000" w:rsidRPr="00000000" w14:paraId="0000003F">
      <w:pPr>
        <w:spacing w:line="240" w:lineRule="auto"/>
        <w:ind w:left="200" w:firstLine="0"/>
        <w:jc w:val="both"/>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40">
      <w:pPr>
        <w:spacing w:line="240" w:lineRule="auto"/>
        <w:ind w:left="200" w:firstLine="0"/>
        <w:jc w:val="both"/>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41">
      <w:pPr>
        <w:numPr>
          <w:ilvl w:val="0"/>
          <w:numId w:val="1"/>
        </w:numPr>
        <w:tabs>
          <w:tab w:val="left" w:leader="none" w:pos="1880"/>
        </w:tabs>
        <w:ind w:left="1133"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PUBLISHING POLICY</w:t>
      </w:r>
    </w:p>
    <w:p w:rsidR="00000000" w:rsidDel="00000000" w:rsidP="00000000" w:rsidRDefault="00000000" w:rsidRPr="00000000" w14:paraId="00000042">
      <w:pPr>
        <w:tabs>
          <w:tab w:val="left" w:leader="none" w:pos="1880"/>
        </w:tabs>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IMAV proceedings will only be distributed in digital form. The submitting author is responsible for obtaining agreement of all his / her coauthors and any consent required from sponsors before submitting a paper. The authors are obliged to cite relevant prior work.</w:t>
      </w:r>
    </w:p>
    <w:p w:rsidR="00000000" w:rsidDel="00000000" w:rsidP="00000000" w:rsidRDefault="00000000" w:rsidRPr="00000000" w14:paraId="00000043">
      <w:pPr>
        <w:tabs>
          <w:tab w:val="left" w:leader="none" w:pos="1880"/>
        </w:tabs>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numPr>
          <w:ilvl w:val="0"/>
          <w:numId w:val="1"/>
        </w:numPr>
        <w:tabs>
          <w:tab w:val="left" w:leader="none" w:pos="1880"/>
        </w:tabs>
        <w:ind w:left="1133"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CONCLUSION</w:t>
      </w:r>
    </w:p>
    <w:p w:rsidR="00000000" w:rsidDel="00000000" w:rsidP="00000000" w:rsidRDefault="00000000" w:rsidRPr="00000000" w14:paraId="00000045">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Conclusion of the paper.</w:t>
      </w:r>
    </w:p>
    <w:p w:rsidR="00000000" w:rsidDel="00000000" w:rsidP="00000000" w:rsidRDefault="00000000" w:rsidRPr="00000000" w14:paraId="0000004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ACKNOWLEDGEMENTS</w:t>
      </w:r>
    </w:p>
    <w:p w:rsidR="00000000" w:rsidDel="00000000" w:rsidP="00000000" w:rsidRDefault="00000000" w:rsidRPr="00000000" w14:paraId="0000004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Here you can place your acknowledgment.</w:t>
      </w:r>
    </w:p>
    <w:p w:rsidR="00000000" w:rsidDel="00000000" w:rsidP="00000000" w:rsidRDefault="00000000" w:rsidRPr="00000000" w14:paraId="0000004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REFERENCES</w:t>
      </w:r>
    </w:p>
    <w:p w:rsidR="00000000" w:rsidDel="00000000" w:rsidP="00000000" w:rsidRDefault="00000000" w:rsidRPr="00000000" w14:paraId="0000004C">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C. De Wagter, S. Tijmons, B.D.W. Remes, and G.C.H.E. de Croon. Autonomous flight of a 20-gram flapping wing mav with a 4-gram onboard stereo vision system. In IEEE Conference on Robotics and Automation (ICRA), 2014.</w:t>
      </w:r>
    </w:p>
    <w:p w:rsidR="00000000" w:rsidDel="00000000" w:rsidP="00000000" w:rsidRDefault="00000000" w:rsidRPr="00000000" w14:paraId="0000004D">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E">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S. Nolfi. Power and the limits of reactive agents. Neurocomputing, 42(1–4) : 119–145, 2002.</w:t>
      </w:r>
    </w:p>
    <w:p w:rsidR="00000000" w:rsidDel="00000000" w:rsidP="00000000" w:rsidRDefault="00000000" w:rsidRPr="00000000" w14:paraId="0000004F">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0">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C.M. Bishop. Pattern recognition and machine learning. Springer Science and Business Media, LLC, New York, NY, 2006.</w:t>
      </w:r>
    </w:p>
    <w:p w:rsidR="00000000" w:rsidDel="00000000" w:rsidP="00000000" w:rsidRDefault="00000000" w:rsidRPr="00000000" w14:paraId="00000051">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APPENDIX A:</w:t>
        <w:tab/>
        <w:t xml:space="preserve">DATA</w:t>
      </w:r>
    </w:p>
    <w:p w:rsidR="00000000" w:rsidDel="00000000" w:rsidP="00000000" w:rsidRDefault="00000000" w:rsidRPr="00000000" w14:paraId="00000053">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If appendices are necessary, they appear at the end of the document. Use ‘appsection’ instead of ‘section’.</w:t>
      </w:r>
    </w:p>
    <w:p w:rsidR="00000000" w:rsidDel="00000000" w:rsidP="00000000" w:rsidRDefault="00000000" w:rsidRPr="00000000" w14:paraId="0000005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5">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APPENDIX B:</w:t>
        <w:tab/>
        <w:t xml:space="preserve">MORE DATA</w:t>
      </w:r>
    </w:p>
    <w:p w:rsidR="00000000" w:rsidDel="00000000" w:rsidP="00000000" w:rsidRDefault="00000000" w:rsidRPr="00000000" w14:paraId="00000056">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Even more data.</w:t>
      </w:r>
    </w:p>
    <w:p w:rsidR="00000000" w:rsidDel="00000000" w:rsidP="00000000" w:rsidRDefault="00000000" w:rsidRPr="00000000" w14:paraId="0000005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jc w:val="both"/>
        <w:rPr>
          <w:rFonts w:ascii="Times New Roman" w:cs="Times New Roman" w:eastAsia="Times New Roman" w:hAnsi="Times New Roman"/>
        </w:rPr>
      </w:pPr>
      <w:r w:rsidDel="00000000" w:rsidR="00000000" w:rsidRPr="00000000">
        <w:rPr>
          <w:rtl w:val="0"/>
        </w:rPr>
      </w:r>
    </w:p>
    <w:sectPr>
      <w:type w:val="continuous"/>
      <w:pgSz w:h="16834" w:w="11909" w:orient="portrait"/>
      <w:pgMar w:bottom="1440" w:top="969" w:left="1077" w:right="1077" w:header="720" w:footer="720"/>
      <w:cols w:equalWidth="0" w:num="2">
        <w:col w:space="415" w:w="4670"/>
        <w:col w:space="0" w:w="467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
      <w:numFmt w:val="decimal"/>
      <w:lvlText w:val="%1.%2"/>
      <w:lvlJc w:val="right"/>
      <w:pPr>
        <w:ind w:left="708"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author@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x/5UTBG6ndAhEp8IudJ8f3fJHw==">CgMxLjAyCGguZ2pkZ3hzOAByITE4WTlpRzBYcW4weXkzV01KN21hSVBIa1dsX1hIdElOag==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