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Article Template for IMAV 2021</w:t>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AuthorName¹, S.B. AuthorName², and C. AuthorName³</w:t>
      </w:r>
    </w:p>
    <w:p w:rsidR="00000000" w:rsidDel="00000000" w:rsidP="00000000" w:rsidRDefault="00000000" w:rsidRPr="00000000" w14:paraId="00000004">
      <w:pPr>
        <w:spacing w:line="12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20"/>
          <w:szCs w:val="20"/>
        </w:rPr>
        <w:sectPr>
          <w:pgSz w:h="16834" w:w="11909" w:orient="portrait"/>
          <w:pgMar w:bottom="1440" w:top="969" w:left="1077" w:right="1077" w:header="720" w:footer="720"/>
          <w:pgNumType w:start="1"/>
        </w:sectPr>
      </w:pPr>
      <w:r w:rsidDel="00000000" w:rsidR="00000000" w:rsidRPr="00000000">
        <w:rPr>
          <w:rFonts w:ascii="Times New Roman" w:cs="Times New Roman" w:eastAsia="Times New Roman" w:hAnsi="Times New Roman"/>
          <w:sz w:val="20"/>
          <w:szCs w:val="20"/>
          <w:rtl w:val="0"/>
        </w:rPr>
        <w:t xml:space="preserve">University of A, Z road, Paysana</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ABSTRACT</w:t>
      </w:r>
    </w:p>
    <w:p w:rsidR="00000000" w:rsidDel="00000000" w:rsidP="00000000" w:rsidRDefault="00000000" w:rsidRPr="00000000" w14:paraId="0000000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sz w:val="20"/>
          <w:szCs w:val="20"/>
          <w:rtl w:val="0"/>
        </w:rPr>
        <w:t xml:space="preserve">This is the article template for the IMAV 2021 to be used with Latex. The abstract should contain a short description of the research. It can maximally be 300 words.</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numPr>
          <w:ilvl w:val="0"/>
          <w:numId w:val="1"/>
        </w:numPr>
        <w:tabs>
          <w:tab w:val="left" w:pos="1880"/>
        </w:tabs>
        <w:ind w:left="1700"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0D">
      <w:pPr>
        <w:ind w:firstLine="299"/>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Latex, you do not have to worry much about the style. It is best to use the ‘imav template.tex’-file as a template. Just remove our text and put your text in its place. Copy the code for figures and tables, and put your data in them. Most comments in this document are best understood by looking at the latex source file. </w:t>
      </w:r>
    </w:p>
    <w:p w:rsidR="00000000" w:rsidDel="00000000" w:rsidP="00000000" w:rsidRDefault="00000000" w:rsidRPr="00000000" w14:paraId="0000000E">
      <w:pPr>
        <w:ind w:firstLine="299"/>
        <w:jc w:val="both"/>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00F">
      <w:pPr>
        <w:ind w:firstLine="299"/>
        <w:jc w:val="both"/>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010">
      <w:pPr>
        <w:numPr>
          <w:ilvl w:val="0"/>
          <w:numId w:val="1"/>
        </w:numPr>
        <w:tabs>
          <w:tab w:val="left" w:pos="1880"/>
        </w:tabs>
        <w:ind w:left="1133"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FIGURES AND TABLES</w:t>
      </w:r>
    </w:p>
    <w:p w:rsidR="00000000" w:rsidDel="00000000" w:rsidP="00000000" w:rsidRDefault="00000000" w:rsidRPr="00000000" w14:paraId="00000011">
      <w:pPr>
        <w:numPr>
          <w:ilvl w:val="1"/>
          <w:numId w:val="1"/>
        </w:numPr>
        <w:tabs>
          <w:tab w:val="left" w:pos="1880"/>
        </w:tabs>
        <w:ind w:left="708" w:hanging="360"/>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Figures</w:t>
      </w:r>
    </w:p>
    <w:p w:rsidR="00000000" w:rsidDel="00000000" w:rsidP="00000000" w:rsidRDefault="00000000" w:rsidRPr="00000000" w14:paraId="00000012">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insert images in Latex, use the template below. The figure caption should be below the figure. Images can be included in colour, since the proceedings will only be released in digital form.</w:t>
      </w:r>
    </w:p>
    <w:p w:rsidR="00000000" w:rsidDel="00000000" w:rsidP="00000000" w:rsidRDefault="00000000" w:rsidRPr="00000000" w14:paraId="00000013">
      <w:pPr>
        <w:tabs>
          <w:tab w:val="left" w:pos="1880"/>
        </w:tabs>
        <w:jc w:val="both"/>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-366</wp:posOffset>
            </wp:positionH>
            <wp:positionV relativeFrom="paragraph">
              <wp:posOffset>171450</wp:posOffset>
            </wp:positionV>
            <wp:extent cx="2867393" cy="1106247"/>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6"/>
                    <a:srcRect b="711" l="0" r="0" t="711"/>
                    <a:stretch>
                      <a:fillRect/>
                    </a:stretch>
                  </pic:blipFill>
                  <pic:spPr>
                    <a:xfrm>
                      <a:off x="0" y="0"/>
                      <a:ext cx="2867393" cy="1106247"/>
                    </a:xfrm>
                    <a:prstGeom prst="rect"/>
                    <a:ln/>
                  </pic:spPr>
                </pic:pic>
              </a:graphicData>
            </a:graphic>
          </wp:anchor>
        </w:drawing>
      </w:r>
    </w:p>
    <w:p w:rsidR="00000000" w:rsidDel="00000000" w:rsidP="00000000" w:rsidRDefault="00000000" w:rsidRPr="00000000" w14:paraId="00000014">
      <w:pPr>
        <w:tabs>
          <w:tab w:val="left" w:pos="1880"/>
        </w:tabs>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Figure 1: Be sure to select the figure caption style.</w:t>
      </w:r>
    </w:p>
    <w:p w:rsidR="00000000" w:rsidDel="00000000" w:rsidP="00000000" w:rsidRDefault="00000000" w:rsidRPr="00000000" w14:paraId="00000015">
      <w:pPr>
        <w:tabs>
          <w:tab w:val="left" w:pos="1880"/>
        </w:tabs>
        <w:jc w:val="both"/>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6">
      <w:pPr>
        <w:numPr>
          <w:ilvl w:val="1"/>
          <w:numId w:val="1"/>
        </w:numPr>
        <w:tabs>
          <w:tab w:val="left" w:pos="1880"/>
        </w:tabs>
        <w:ind w:left="708" w:hanging="360"/>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Tables</w:t>
      </w:r>
    </w:p>
    <w:p w:rsidR="00000000" w:rsidDel="00000000" w:rsidP="00000000" w:rsidRDefault="00000000" w:rsidRPr="00000000" w14:paraId="00000017">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inserting a table, you can choose the appropriate style - Table 1 below is an example. Put the caption under the table.</w:t>
      </w:r>
    </w:p>
    <w:p w:rsidR="00000000" w:rsidDel="00000000" w:rsidP="00000000" w:rsidRDefault="00000000" w:rsidRPr="00000000" w14:paraId="00000018">
      <w:pPr>
        <w:tabs>
          <w:tab w:val="left" w:pos="1880"/>
        </w:tabs>
        <w:ind w:left="720"/>
        <w:jc w:val="both"/>
        <w:rPr>
          <w:rFonts w:ascii="Times New Roman" w:cs="Times New Roman" w:eastAsia="Times New Roman" w:hAnsi="Times New Roman"/>
          <w:sz w:val="20"/>
          <w:szCs w:val="20"/>
        </w:rPr>
      </w:pPr>
      <w:r w:rsidDel="00000000" w:rsidR="00000000" w:rsidRPr="00000000">
        <w:rPr>
          <w:rtl w:val="0"/>
        </w:rPr>
      </w:r>
    </w:p>
    <w:tbl>
      <w:tblPr>
        <w:tblStyle w:val="Table1"/>
        <w:tblW w:w="21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
        <w:gridCol w:w="540"/>
        <w:gridCol w:w="555"/>
        <w:gridCol w:w="510"/>
        <w:tblGridChange w:id="0">
          <w:tblGrid>
            <w:gridCol w:w="495"/>
            <w:gridCol w:w="540"/>
            <w:gridCol w:w="555"/>
            <w:gridCol w:w="510"/>
          </w:tblGrid>
        </w:tblGridChange>
      </w:tblGrid>
      <w:tr>
        <w:trPr>
          <w:trHeight w:val="360" w:hRule="atLeast"/>
        </w:trPr>
        <w:tc>
          <w:tcPr>
            <w:shd w:fill="auto" w:val="clear"/>
            <w:tcMar>
              <w:top w:w="73.0" w:type="dxa"/>
              <w:left w:w="73.0" w:type="dxa"/>
              <w:bottom w:w="73.0" w:type="dxa"/>
              <w:right w:w="73.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tl w:val="0"/>
              </w:rPr>
            </w:r>
          </w:p>
        </w:tc>
        <w:tc>
          <w:tcPr>
            <w:shd w:fill="auto" w:val="clear"/>
            <w:tcMar>
              <w:top w:w="73.0" w:type="dxa"/>
              <w:left w:w="73.0" w:type="dxa"/>
              <w:bottom w:w="73.0" w:type="dxa"/>
              <w:right w:w="73.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c>
          <w:tcPr>
            <w:shd w:fill="auto" w:val="clear"/>
            <w:tcMar>
              <w:top w:w="73.0" w:type="dxa"/>
              <w:left w:w="73.0" w:type="dxa"/>
              <w:bottom w:w="73.0" w:type="dxa"/>
              <w:right w:w="73.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w:t>
            </w:r>
          </w:p>
        </w:tc>
        <w:tc>
          <w:tcPr>
            <w:shd w:fill="auto" w:val="clear"/>
            <w:tcMar>
              <w:top w:w="73.0" w:type="dxa"/>
              <w:left w:w="73.0" w:type="dxa"/>
              <w:bottom w:w="73.0" w:type="dxa"/>
              <w:right w:w="73.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w:t>
            </w:r>
          </w:p>
        </w:tc>
      </w:tr>
      <w:tr>
        <w:tc>
          <w:tcPr>
            <w:shd w:fill="auto" w:val="clear"/>
            <w:tcMar>
              <w:top w:w="73.0" w:type="dxa"/>
              <w:left w:w="73.0" w:type="dxa"/>
              <w:bottom w:w="73.0" w:type="dxa"/>
              <w:right w:w="73.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c>
          <w:tcPr>
            <w:shd w:fill="auto" w:val="clear"/>
            <w:tcMar>
              <w:top w:w="73.0" w:type="dxa"/>
              <w:left w:w="73.0" w:type="dxa"/>
              <w:bottom w:w="73.0" w:type="dxa"/>
              <w:right w:w="73.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tcMar>
              <w:top w:w="73.0" w:type="dxa"/>
              <w:left w:w="73.0" w:type="dxa"/>
              <w:bottom w:w="73.0" w:type="dxa"/>
              <w:right w:w="73.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tcMar>
              <w:top w:w="73.0" w:type="dxa"/>
              <w:left w:w="73.0" w:type="dxa"/>
              <w:bottom w:w="73.0" w:type="dxa"/>
              <w:right w:w="73.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c>
          <w:tcPr>
            <w:shd w:fill="auto" w:val="clear"/>
            <w:tcMar>
              <w:top w:w="73.0" w:type="dxa"/>
              <w:left w:w="73.0" w:type="dxa"/>
              <w:bottom w:w="73.0" w:type="dxa"/>
              <w:right w:w="73.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w:t>
            </w:r>
          </w:p>
        </w:tc>
        <w:tc>
          <w:tcPr>
            <w:shd w:fill="auto" w:val="clear"/>
            <w:tcMar>
              <w:top w:w="73.0" w:type="dxa"/>
              <w:left w:w="73.0" w:type="dxa"/>
              <w:bottom w:w="73.0" w:type="dxa"/>
              <w:right w:w="73.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auto" w:val="clear"/>
            <w:tcMar>
              <w:top w:w="73.0" w:type="dxa"/>
              <w:left w:w="73.0" w:type="dxa"/>
              <w:bottom w:w="73.0" w:type="dxa"/>
              <w:right w:w="73.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auto" w:val="clear"/>
            <w:tcMar>
              <w:top w:w="73.0" w:type="dxa"/>
              <w:left w:w="73.0" w:type="dxa"/>
              <w:bottom w:w="73.0" w:type="dxa"/>
              <w:right w:w="73.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bl>
    <w:p w:rsidR="00000000" w:rsidDel="00000000" w:rsidP="00000000" w:rsidRDefault="00000000" w:rsidRPr="00000000" w14:paraId="00000025">
      <w:pPr>
        <w:tabs>
          <w:tab w:val="left" w:pos="1880"/>
        </w:tabs>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Table 1: Results of the experiment.</w:t>
      </w:r>
    </w:p>
    <w:p w:rsidR="00000000" w:rsidDel="00000000" w:rsidP="00000000" w:rsidRDefault="00000000" w:rsidRPr="00000000" w14:paraId="00000026">
      <w:pPr>
        <w:tabs>
          <w:tab w:val="left" w:pos="1880"/>
        </w:tabs>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27">
      <w:pPr>
        <w:spacing w:line="240" w:lineRule="auto"/>
        <w:ind w:left="20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*Email address(es): contact </w:t>
      </w:r>
      <w:hyperlink r:id="rId7">
        <w:r w:rsidDel="00000000" w:rsidR="00000000" w:rsidRPr="00000000">
          <w:rPr>
            <w:rFonts w:ascii="Times New Roman" w:cs="Times New Roman" w:eastAsia="Times New Roman" w:hAnsi="Times New Roman"/>
            <w:sz w:val="16"/>
            <w:szCs w:val="16"/>
            <w:rtl w:val="0"/>
          </w:rPr>
          <w:t xml:space="preserve">author@mail.com</w:t>
        </w:r>
      </w:hyperlink>
      <w:r w:rsidDel="00000000" w:rsidR="00000000" w:rsidRPr="00000000">
        <w:rPr>
          <w:rtl w:val="0"/>
        </w:rPr>
      </w:r>
    </w:p>
    <w:p w:rsidR="00000000" w:rsidDel="00000000" w:rsidP="00000000" w:rsidRDefault="00000000" w:rsidRPr="00000000" w14:paraId="00000028">
      <w:pPr>
        <w:spacing w:line="240" w:lineRule="auto"/>
        <w:ind w:left="20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29">
      <w:pPr>
        <w:spacing w:line="240" w:lineRule="auto"/>
        <w:ind w:left="20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2A">
      <w:pPr>
        <w:spacing w:line="240" w:lineRule="auto"/>
        <w:ind w:left="20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2B">
      <w:pPr>
        <w:tabs>
          <w:tab w:val="left" w:pos="1880"/>
        </w:tabs>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C">
      <w:pPr>
        <w:numPr>
          <w:ilvl w:val="0"/>
          <w:numId w:val="1"/>
        </w:numPr>
        <w:tabs>
          <w:tab w:val="left" w:pos="1880"/>
        </w:tabs>
        <w:ind w:left="1417"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MATH AND UNITS</w:t>
      </w:r>
    </w:p>
    <w:p w:rsidR="00000000" w:rsidDel="00000000" w:rsidP="00000000" w:rsidRDefault="00000000" w:rsidRPr="00000000" w14:paraId="0000002D">
      <w:pPr>
        <w:numPr>
          <w:ilvl w:val="1"/>
          <w:numId w:val="1"/>
        </w:numPr>
        <w:tabs>
          <w:tab w:val="left" w:pos="1880"/>
        </w:tabs>
        <w:ind w:left="708" w:hanging="360"/>
        <w:jc w:val="both"/>
        <w:rPr>
          <w:rFonts w:ascii="Times New Roman" w:cs="Times New Roman" w:eastAsia="Times New Roman" w:hAnsi="Times New Roman"/>
          <w:i w:val="1"/>
          <w:sz w:val="20"/>
          <w:szCs w:val="20"/>
        </w:rPr>
      </w:pPr>
      <w:bookmarkStart w:colFirst="0" w:colLast="0" w:name="_gjdgxs" w:id="0"/>
      <w:bookmarkEnd w:id="0"/>
      <w:r w:rsidDel="00000000" w:rsidR="00000000" w:rsidRPr="00000000">
        <w:rPr>
          <w:rFonts w:ascii="Times New Roman" w:cs="Times New Roman" w:eastAsia="Times New Roman" w:hAnsi="Times New Roman"/>
          <w:i w:val="1"/>
          <w:sz w:val="20"/>
          <w:szCs w:val="20"/>
          <w:rtl w:val="0"/>
        </w:rPr>
        <w:t xml:space="preserve">Math</w:t>
      </w:r>
    </w:p>
    <w:p w:rsidR="00000000" w:rsidDel="00000000" w:rsidP="00000000" w:rsidRDefault="00000000" w:rsidRPr="00000000" w14:paraId="0000002E">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equations in Latex with the equation environment:</w:t>
      </w:r>
    </w:p>
    <w:p w:rsidR="00000000" w:rsidDel="00000000" w:rsidP="00000000" w:rsidRDefault="00000000" w:rsidRPr="00000000" w14:paraId="0000002F">
      <w:pPr>
        <w:tabs>
          <w:tab w:val="left" w:pos="1880"/>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8"/>
          <w:szCs w:val="28"/>
          <w:rtl w:val="0"/>
        </w:rPr>
        <w:t xml:space="preserve">                 </w:t>
      </w:r>
      <m:oMath>
        <m:r>
          <w:rPr>
            <w:rFonts w:ascii="Times New Roman" w:cs="Times New Roman" w:eastAsia="Times New Roman" w:hAnsi="Times New Roman"/>
            <w:sz w:val="28"/>
            <w:szCs w:val="28"/>
          </w:rPr>
          <m:t xml:space="preserve">n =</m:t>
        </m:r>
        <m:rad>
          <m:radPr>
            <m:degHide m:val="1"/>
            <m:ctrlPr>
              <w:rPr>
                <w:rFonts w:ascii="Times New Roman" w:cs="Times New Roman" w:eastAsia="Times New Roman" w:hAnsi="Times New Roman"/>
                <w:sz w:val="28"/>
                <w:szCs w:val="28"/>
              </w:rPr>
            </m:ctrlPr>
          </m:radPr>
          <m:e>
            <m:f>
              <m:fPr>
                <m:ctrlPr>
                  <w:rPr>
                    <w:rFonts w:ascii="Times New Roman" w:cs="Times New Roman" w:eastAsia="Times New Roman" w:hAnsi="Times New Roman"/>
                    <w:sz w:val="28"/>
                    <w:szCs w:val="28"/>
                  </w:rPr>
                </m:ctrlPr>
              </m:fPr>
              <m:num>
                <m:r>
                  <w:rPr>
                    <w:rFonts w:ascii="Times New Roman" w:cs="Times New Roman" w:eastAsia="Times New Roman" w:hAnsi="Times New Roman"/>
                    <w:sz w:val="28"/>
                    <w:szCs w:val="28"/>
                  </w:rPr>
                  <m:t xml:space="preserve">a</m:t>
                </m:r>
              </m:num>
              <m:den>
                <m:r>
                  <w:rPr>
                    <w:rFonts w:ascii="Times New Roman" w:cs="Times New Roman" w:eastAsia="Times New Roman" w:hAnsi="Times New Roman"/>
                    <w:sz w:val="28"/>
                    <w:szCs w:val="28"/>
                  </w:rPr>
                  <m:t xml:space="preserve">b</m:t>
                </m:r>
              </m:den>
            </m:f>
          </m:e>
        </m:rad>
      </m:oMath>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0"/>
          <w:szCs w:val="20"/>
          <w:rtl w:val="0"/>
        </w:rPr>
        <w:t xml:space="preserve">(1)</w:t>
      </w:r>
    </w:p>
    <w:p w:rsidR="00000000" w:rsidDel="00000000" w:rsidP="00000000" w:rsidRDefault="00000000" w:rsidRPr="00000000" w14:paraId="00000030">
      <w:pPr>
        <w:tabs>
          <w:tab w:val="left" w:pos="1880"/>
        </w:tabs>
        <w:ind w:left="708"/>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tabs>
          <w:tab w:val="left" w:pos="1880"/>
        </w:tabs>
        <w:jc w:val="both"/>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If used inside the text, use the $-sign: a = b − c.   Only do this for short formulas.</w:t>
      </w:r>
      <w:r w:rsidDel="00000000" w:rsidR="00000000" w:rsidRPr="00000000">
        <w:rPr>
          <w:rtl w:val="0"/>
        </w:rPr>
      </w:r>
    </w:p>
    <w:p w:rsidR="00000000" w:rsidDel="00000000" w:rsidP="00000000" w:rsidRDefault="00000000" w:rsidRPr="00000000" w14:paraId="00000032">
      <w:pPr>
        <w:tabs>
          <w:tab w:val="left" w:pos="1880"/>
        </w:tabs>
        <w:ind w:left="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numPr>
          <w:ilvl w:val="1"/>
          <w:numId w:val="1"/>
        </w:numPr>
        <w:tabs>
          <w:tab w:val="left" w:pos="1880"/>
        </w:tabs>
        <w:ind w:left="708" w:hanging="360"/>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Units</w:t>
      </w:r>
    </w:p>
    <w:p w:rsidR="00000000" w:rsidDel="00000000" w:rsidP="00000000" w:rsidRDefault="00000000" w:rsidRPr="00000000" w14:paraId="00000034">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Always use SI units first, possibly adding other units in parentheses.</w:t>
      </w:r>
    </w:p>
    <w:p w:rsidR="00000000" w:rsidDel="00000000" w:rsidP="00000000" w:rsidRDefault="00000000" w:rsidRPr="00000000" w14:paraId="00000035">
      <w:pPr>
        <w:tabs>
          <w:tab w:val="left" w:pos="1880"/>
        </w:tabs>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numPr>
          <w:ilvl w:val="0"/>
          <w:numId w:val="1"/>
        </w:numPr>
        <w:tabs>
          <w:tab w:val="left" w:pos="1880"/>
        </w:tabs>
        <w:ind w:left="1133"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REFERENCING</w:t>
      </w:r>
    </w:p>
    <w:p w:rsidR="00000000" w:rsidDel="00000000" w:rsidP="00000000" w:rsidRDefault="00000000" w:rsidRPr="00000000" w14:paraId="00000037">
      <w:pPr>
        <w:numPr>
          <w:ilvl w:val="1"/>
          <w:numId w:val="1"/>
        </w:numPr>
        <w:tabs>
          <w:tab w:val="left" w:pos="1880"/>
        </w:tabs>
        <w:ind w:left="708" w:hanging="360"/>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In-document referencing</w:t>
      </w:r>
    </w:p>
    <w:p w:rsidR="00000000" w:rsidDel="00000000" w:rsidP="00000000" w:rsidRDefault="00000000" w:rsidRPr="00000000" w14:paraId="00000038">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Always introduce a figure as “Figure X”, as in “Figure 1 shows the IMAV logo.”, or “The IMAV logor is shown in Figure 1.” Subsequently, the word “figure” can be used. The same goes for tables (“Table 1”). Equations do not have to be introduced this way. If they are referenced to, “Equation 1” should be used. Sections are referred to as “Section 1” ¹.</w:t>
      </w:r>
    </w:p>
    <w:p w:rsidR="00000000" w:rsidDel="00000000" w:rsidP="00000000" w:rsidRDefault="00000000" w:rsidRPr="00000000" w14:paraId="00000039">
      <w:pPr>
        <w:tabs>
          <w:tab w:val="left" w:pos="1880"/>
        </w:tabs>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A">
      <w:pPr>
        <w:numPr>
          <w:ilvl w:val="1"/>
          <w:numId w:val="1"/>
        </w:numPr>
        <w:tabs>
          <w:tab w:val="left" w:pos="1880"/>
        </w:tabs>
        <w:ind w:left="708" w:hanging="360"/>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Referencing to literature</w:t>
      </w:r>
    </w:p>
    <w:p w:rsidR="00000000" w:rsidDel="00000000" w:rsidP="00000000" w:rsidRDefault="00000000" w:rsidRPr="00000000" w14:paraId="0000003B">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Citations are numbered consecutively with square brackets [1] - this is determined by the bibliography style ‘unsrt’. The sentence punctuation follows the brackets [2]. Multiple references [1, 2] are each numbered with separate brackets or in sequence as [1, 2, 3]. Follow the reference style at the end of this document. Papers that have not been published should be cited as ”unpublished”. Papers that have been submitted for publication should be cited as “submitted for publication”. Papers that have been accepted for publication, but not yet specified for an issue should be cited as ”to appear”. Capitalize only the first word in a paper title, except for proper nouns and element symbols. Below, [1] is a reference to a conference paper, [2] to a journal paper, and [3] to a book.</w:t>
      </w:r>
    </w:p>
    <w:p w:rsidR="00000000" w:rsidDel="00000000" w:rsidP="00000000" w:rsidRDefault="00000000" w:rsidRPr="00000000" w14:paraId="0000003C">
      <w:pPr>
        <w:tabs>
          <w:tab w:val="left" w:pos="1880"/>
        </w:tabs>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D">
      <w:pPr>
        <w:spacing w:line="36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w:t>
      </w:r>
    </w:p>
    <w:p w:rsidR="00000000" w:rsidDel="00000000" w:rsidP="00000000" w:rsidRDefault="00000000" w:rsidRPr="00000000" w14:paraId="0000003E">
      <w:pPr>
        <w:spacing w:line="240" w:lineRule="auto"/>
        <w:ind w:left="20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¹ Footnotes are placed like this.</w:t>
      </w:r>
    </w:p>
    <w:p w:rsidR="00000000" w:rsidDel="00000000" w:rsidP="00000000" w:rsidRDefault="00000000" w:rsidRPr="00000000" w14:paraId="0000003F">
      <w:pPr>
        <w:spacing w:line="240" w:lineRule="auto"/>
        <w:ind w:left="20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0">
      <w:pPr>
        <w:spacing w:line="240" w:lineRule="auto"/>
        <w:ind w:left="200"/>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1">
      <w:pPr>
        <w:numPr>
          <w:ilvl w:val="0"/>
          <w:numId w:val="1"/>
        </w:numPr>
        <w:tabs>
          <w:tab w:val="left" w:pos="1880"/>
        </w:tabs>
        <w:ind w:left="1133"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PUBLISHING POLICY</w:t>
      </w:r>
    </w:p>
    <w:p w:rsidR="00000000" w:rsidDel="00000000" w:rsidP="00000000" w:rsidRDefault="00000000" w:rsidRPr="00000000" w14:paraId="00000042">
      <w:pPr>
        <w:tabs>
          <w:tab w:val="left" w:pos="1880"/>
        </w:tabs>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IMAV proceedings will only be distributed in digital form. The submitting author is responsible for obtaining agreement of all his / her coauthors and any consent required from sponsors before submitting a paper. The authors are obliged to cite relevant prior work.</w:t>
      </w:r>
    </w:p>
    <w:p w:rsidR="00000000" w:rsidDel="00000000" w:rsidP="00000000" w:rsidRDefault="00000000" w:rsidRPr="00000000" w14:paraId="00000043">
      <w:pPr>
        <w:tabs>
          <w:tab w:val="left" w:pos="1880"/>
        </w:tabs>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4">
      <w:pPr>
        <w:numPr>
          <w:ilvl w:val="0"/>
          <w:numId w:val="1"/>
        </w:numPr>
        <w:tabs>
          <w:tab w:val="left" w:pos="1880"/>
        </w:tabs>
        <w:ind w:left="1133" w:hanging="36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CONCLUSION</w:t>
      </w:r>
    </w:p>
    <w:p w:rsidR="00000000" w:rsidDel="00000000" w:rsidP="00000000" w:rsidRDefault="00000000" w:rsidRPr="00000000" w14:paraId="0000004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Conclusion of the paper.</w:t>
      </w:r>
    </w:p>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ACKNOWLEDGEMENTS</w:t>
      </w:r>
    </w:p>
    <w:p w:rsidR="00000000" w:rsidDel="00000000" w:rsidP="00000000" w:rsidRDefault="00000000" w:rsidRPr="00000000" w14:paraId="0000004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Here you can place your acknowledgment.</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REFERENCES</w:t>
      </w:r>
    </w:p>
    <w:p w:rsidR="00000000" w:rsidDel="00000000" w:rsidP="00000000" w:rsidRDefault="00000000" w:rsidRPr="00000000" w14:paraId="0000004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C. De Wagter, S. Tijmons, B.D.W. Remes, and G.C.H.E. de Croon. Autonomous flight of a 20-gram flapping wing mav with a 4-gram onboard stereo vision system. In IEEE Conference on Robotics and Automation (ICRA), 2014.</w:t>
      </w:r>
    </w:p>
    <w:p w:rsidR="00000000" w:rsidDel="00000000" w:rsidP="00000000" w:rsidRDefault="00000000" w:rsidRPr="00000000" w14:paraId="0000004D">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S. Nolfi. Power and the limits of reactive agents. Neurocomputing, 42(1–4) : 119–145, 2002.</w:t>
      </w:r>
    </w:p>
    <w:p w:rsidR="00000000" w:rsidDel="00000000" w:rsidP="00000000" w:rsidRDefault="00000000" w:rsidRPr="00000000" w14:paraId="0000004F">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C.M. Bishop. Pattern recognition and machine learning. Springer Science and Business Media, LLC, New York, NY, 2006.</w:t>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APPENDIX A:</w:t>
        <w:tab/>
        <w:t xml:space="preserve">DATA</w:t>
      </w:r>
    </w:p>
    <w:p w:rsidR="00000000" w:rsidDel="00000000" w:rsidP="00000000" w:rsidRDefault="00000000" w:rsidRPr="00000000" w14:paraId="0000005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appendices are necessary, they appear at the end of the document. Use ‘appsection’ instead of ‘section’.</w:t>
      </w:r>
    </w:p>
    <w:p w:rsidR="00000000" w:rsidDel="00000000" w:rsidP="00000000" w:rsidRDefault="00000000" w:rsidRPr="00000000" w14:paraId="000000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APPENDIX B:</w:t>
        <w:tab/>
        <w:t xml:space="preserve">MORE DATA</w:t>
      </w:r>
    </w:p>
    <w:p w:rsidR="00000000" w:rsidDel="00000000" w:rsidP="00000000" w:rsidRDefault="00000000" w:rsidRPr="00000000" w14:paraId="0000005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Even more data.</w:t>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tl w:val="0"/>
        </w:rPr>
      </w:r>
    </w:p>
    <w:sectPr>
      <w:type w:val="continuous"/>
      <w:pgSz w:h="16834" w:w="11909" w:orient="portrait"/>
      <w:pgMar w:bottom="1440" w:top="969" w:left="1077" w:right="1077" w:header="720" w:footer="720"/>
      <w:cols w:equalWidth="0" w:num="2">
        <w:col w:space="415" w:w="4670"/>
        <w:col w:space="0" w:w="467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right"/>
      <w:pPr>
        <w:ind w:left="720" w:hanging="360"/>
      </w:pPr>
      <w:rPr>
        <w:u w:val="none"/>
      </w:rPr>
    </w:lvl>
    <w:lvl w:ilvl="1">
      <w:start w:val="1"/>
      <w:numFmt w:val="decimal"/>
      <w:lvlText w:val="%1.%2"/>
      <w:lvlJc w:val="right"/>
      <w:pPr>
        <w:ind w:left="708"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author@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